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A051A" w14:textId="79B4B2E4" w:rsidR="000A3453" w:rsidRDefault="006D5497" w:rsidP="006D5497">
      <w:pPr>
        <w:spacing w:after="0"/>
        <w:jc w:val="center"/>
        <w:rPr>
          <w:b/>
          <w:bCs/>
          <w:u w:val="single"/>
        </w:rPr>
      </w:pPr>
      <w:r w:rsidRPr="006D5497">
        <w:rPr>
          <w:b/>
          <w:bCs/>
          <w:u w:val="single"/>
        </w:rPr>
        <w:t>Overview – Class 1 &amp;</w:t>
      </w:r>
      <w:proofErr w:type="gramStart"/>
      <w:r w:rsidRPr="006D5497">
        <w:rPr>
          <w:b/>
          <w:bCs/>
          <w:u w:val="single"/>
        </w:rPr>
        <w:t>2  Expected</w:t>
      </w:r>
      <w:proofErr w:type="gramEnd"/>
      <w:r w:rsidRPr="006D5497">
        <w:rPr>
          <w:b/>
          <w:bCs/>
          <w:u w:val="single"/>
        </w:rPr>
        <w:t xml:space="preserve"> outcomes Cycle A</w:t>
      </w:r>
    </w:p>
    <w:p w14:paraId="3A76CD70" w14:textId="77777777" w:rsidR="006D5497" w:rsidRPr="006D5497" w:rsidRDefault="006D5497" w:rsidP="006D5497">
      <w:pPr>
        <w:spacing w:after="0"/>
        <w:jc w:val="center"/>
        <w:rPr>
          <w:b/>
          <w:bCs/>
          <w:u w:val="single"/>
        </w:rPr>
      </w:pPr>
    </w:p>
    <w:tbl>
      <w:tblPr>
        <w:tblStyle w:val="TableGrid"/>
        <w:tblW w:w="16302" w:type="dxa"/>
        <w:tblInd w:w="-431" w:type="dxa"/>
        <w:tblLook w:val="04A0" w:firstRow="1" w:lastRow="0" w:firstColumn="1" w:lastColumn="0" w:noHBand="0" w:noVBand="1"/>
      </w:tblPr>
      <w:tblGrid>
        <w:gridCol w:w="2978"/>
        <w:gridCol w:w="2835"/>
        <w:gridCol w:w="2410"/>
        <w:gridCol w:w="2838"/>
        <w:gridCol w:w="2482"/>
        <w:gridCol w:w="2759"/>
      </w:tblGrid>
      <w:tr w:rsidR="001A64AA" w:rsidRPr="001A64AA" w14:paraId="3A63C2A5" w14:textId="77777777" w:rsidTr="006D5497">
        <w:tc>
          <w:tcPr>
            <w:tcW w:w="2978" w:type="dxa"/>
            <w:shd w:val="clear" w:color="auto" w:fill="FFFF00"/>
          </w:tcPr>
          <w:p w14:paraId="79B6DCCB" w14:textId="59B04B83" w:rsidR="000A3453" w:rsidRPr="001A64AA" w:rsidRDefault="000A3453" w:rsidP="001A64AA">
            <w:pPr>
              <w:jc w:val="center"/>
              <w:rPr>
                <w:rFonts w:ascii="Comic Sans MS" w:hAnsi="Comic Sans MS"/>
                <w:sz w:val="19"/>
                <w:szCs w:val="19"/>
              </w:rPr>
            </w:pPr>
            <w:r w:rsidRPr="001A64AA">
              <w:rPr>
                <w:rFonts w:ascii="Comic Sans MS" w:hAnsi="Comic Sans MS"/>
                <w:sz w:val="19"/>
                <w:szCs w:val="19"/>
              </w:rPr>
              <w:t>Creation and Covenant</w:t>
            </w:r>
          </w:p>
        </w:tc>
        <w:tc>
          <w:tcPr>
            <w:tcW w:w="2835" w:type="dxa"/>
            <w:shd w:val="clear" w:color="auto" w:fill="FF0000"/>
          </w:tcPr>
          <w:p w14:paraId="77414FDA" w14:textId="653ACEB5" w:rsidR="000A3453" w:rsidRPr="001A64AA" w:rsidRDefault="000A3453" w:rsidP="001A64AA">
            <w:pPr>
              <w:jc w:val="center"/>
              <w:rPr>
                <w:rFonts w:ascii="Comic Sans MS" w:hAnsi="Comic Sans MS"/>
                <w:sz w:val="19"/>
                <w:szCs w:val="19"/>
              </w:rPr>
            </w:pPr>
            <w:r w:rsidRPr="001A64AA">
              <w:rPr>
                <w:rFonts w:ascii="Comic Sans MS" w:hAnsi="Comic Sans MS"/>
                <w:sz w:val="19"/>
                <w:szCs w:val="19"/>
              </w:rPr>
              <w:t>Prophecy and Promise</w:t>
            </w:r>
          </w:p>
        </w:tc>
        <w:tc>
          <w:tcPr>
            <w:tcW w:w="2410" w:type="dxa"/>
            <w:shd w:val="clear" w:color="auto" w:fill="FFC000"/>
          </w:tcPr>
          <w:p w14:paraId="1FA164FE" w14:textId="7C59768E"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Galilee to Jerusalem</w:t>
            </w:r>
          </w:p>
        </w:tc>
        <w:tc>
          <w:tcPr>
            <w:tcW w:w="2838" w:type="dxa"/>
            <w:shd w:val="clear" w:color="auto" w:fill="4EA72E" w:themeFill="accent6"/>
          </w:tcPr>
          <w:p w14:paraId="0DAC356D" w14:textId="09C00B4B"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Desert to Garden</w:t>
            </w:r>
          </w:p>
        </w:tc>
        <w:tc>
          <w:tcPr>
            <w:tcW w:w="2482" w:type="dxa"/>
            <w:shd w:val="clear" w:color="auto" w:fill="0F9ED5" w:themeFill="accent4"/>
          </w:tcPr>
          <w:p w14:paraId="228A3F36" w14:textId="3AB7C873"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To the Ends of the Earth</w:t>
            </w:r>
          </w:p>
        </w:tc>
        <w:tc>
          <w:tcPr>
            <w:tcW w:w="2759" w:type="dxa"/>
            <w:shd w:val="clear" w:color="auto" w:fill="15CFB4"/>
          </w:tcPr>
          <w:p w14:paraId="2CA7BF54" w14:textId="496CC454" w:rsidR="000A3453" w:rsidRPr="001A64AA" w:rsidRDefault="00784D34" w:rsidP="001A64AA">
            <w:pPr>
              <w:jc w:val="center"/>
              <w:rPr>
                <w:rFonts w:ascii="Comic Sans MS" w:hAnsi="Comic Sans MS"/>
                <w:sz w:val="19"/>
                <w:szCs w:val="19"/>
              </w:rPr>
            </w:pPr>
            <w:r w:rsidRPr="001A64AA">
              <w:rPr>
                <w:rFonts w:ascii="Comic Sans MS" w:hAnsi="Comic Sans MS"/>
                <w:sz w:val="19"/>
                <w:szCs w:val="19"/>
              </w:rPr>
              <w:t>Dialogue and Encounter</w:t>
            </w:r>
          </w:p>
        </w:tc>
      </w:tr>
      <w:tr w:rsidR="001A64AA" w:rsidRPr="001A64AA" w14:paraId="5E5D1DE1" w14:textId="77777777" w:rsidTr="001A64AA">
        <w:tc>
          <w:tcPr>
            <w:tcW w:w="2978" w:type="dxa"/>
            <w:vAlign w:val="center"/>
          </w:tcPr>
          <w:p w14:paraId="27E40B7B" w14:textId="00CBDDED"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 xml:space="preserve">Recognise that the story of Creation in Genesis 1:1-4,24-26, is an ancient, prayerful, poetic reflection on God’s world and retell this story in any form. </w:t>
            </w:r>
          </w:p>
        </w:tc>
        <w:tc>
          <w:tcPr>
            <w:tcW w:w="2835" w:type="dxa"/>
            <w:vAlign w:val="center"/>
          </w:tcPr>
          <w:p w14:paraId="729945DF" w14:textId="2D4A7B9E"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for Christians, the Christmas story reveals God’s love by sending Jesus his Son.</w:t>
            </w:r>
          </w:p>
        </w:tc>
        <w:tc>
          <w:tcPr>
            <w:tcW w:w="2410" w:type="dxa"/>
            <w:vAlign w:val="center"/>
          </w:tcPr>
          <w:p w14:paraId="7D1A7431" w14:textId="36B24BDE"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Identify some of the people that encounter Jesus and recognise that he is special.</w:t>
            </w:r>
          </w:p>
        </w:tc>
        <w:tc>
          <w:tcPr>
            <w:tcW w:w="2838" w:type="dxa"/>
            <w:vAlign w:val="center"/>
          </w:tcPr>
          <w:p w14:paraId="7AE8897D" w14:textId="5F913BEE"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 xml:space="preserve">Make simple connections between Jesus’ time in the desert (Lk 4:1-13) and Christians praying and fasting for forty days in Lent. </w:t>
            </w:r>
          </w:p>
        </w:tc>
        <w:tc>
          <w:tcPr>
            <w:tcW w:w="2482" w:type="dxa"/>
            <w:vMerge w:val="restart"/>
            <w:vAlign w:val="center"/>
          </w:tcPr>
          <w:p w14:paraId="45EF6CD5" w14:textId="0E163F29"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Retell with increasing detail one of the following accounts: the Road to Emmaus (Lk 24:13-35), the Promise of the Spirit and the Ascension (Acts 1:1-11), Pentecost (Acts 2:1-4).</w:t>
            </w:r>
          </w:p>
        </w:tc>
        <w:tc>
          <w:tcPr>
            <w:tcW w:w="2759" w:type="dxa"/>
            <w:vAlign w:val="center"/>
          </w:tcPr>
          <w:p w14:paraId="0D2EFAED" w14:textId="4F952713"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Know that Christian means follower of Jesus Christ.</w:t>
            </w:r>
          </w:p>
        </w:tc>
      </w:tr>
      <w:tr w:rsidR="001A64AA" w:rsidRPr="001A64AA" w14:paraId="179E61A1" w14:textId="77777777" w:rsidTr="001A64AA">
        <w:tc>
          <w:tcPr>
            <w:tcW w:w="2978" w:type="dxa"/>
            <w:vAlign w:val="center"/>
          </w:tcPr>
          <w:p w14:paraId="35501B07" w14:textId="0CE1BA73"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 xml:space="preserve"> Recognise in an age-appropriate way that the Church teaches that all that </w:t>
            </w:r>
            <w:proofErr w:type="gramStart"/>
            <w:r w:rsidRPr="001A64AA">
              <w:rPr>
                <w:rFonts w:ascii="Comic Sans MS" w:hAnsi="Comic Sans MS"/>
                <w:color w:val="000000"/>
                <w:sz w:val="19"/>
                <w:szCs w:val="19"/>
              </w:rPr>
              <w:t>is comes</w:t>
            </w:r>
            <w:proofErr w:type="gramEnd"/>
            <w:r w:rsidRPr="001A64AA">
              <w:rPr>
                <w:rFonts w:ascii="Comic Sans MS" w:hAnsi="Comic Sans MS"/>
                <w:color w:val="000000"/>
                <w:sz w:val="19"/>
                <w:szCs w:val="19"/>
              </w:rPr>
              <w:t xml:space="preserve"> from God, our Father, who made heaven and Earth. </w:t>
            </w:r>
          </w:p>
        </w:tc>
        <w:tc>
          <w:tcPr>
            <w:tcW w:w="2835" w:type="dxa"/>
            <w:vAlign w:val="center"/>
          </w:tcPr>
          <w:p w14:paraId="5D29B0A9" w14:textId="0F4A18C0"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Be introduced to the Bible as a special book and encounter the stories and accounts of how people came to know God and the Good News of Jesus in the gospels.</w:t>
            </w:r>
          </w:p>
        </w:tc>
        <w:tc>
          <w:tcPr>
            <w:tcW w:w="2410" w:type="dxa"/>
            <w:vAlign w:val="center"/>
          </w:tcPr>
          <w:p w14:paraId="236B2A6C" w14:textId="254356BB"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Retell, in any form, one of the stories they have heard, recognising these are religious accounts from the Gospel of Luke.</w:t>
            </w:r>
          </w:p>
        </w:tc>
        <w:tc>
          <w:tcPr>
            <w:tcW w:w="2838" w:type="dxa"/>
            <w:vAlign w:val="center"/>
          </w:tcPr>
          <w:p w14:paraId="614741B5" w14:textId="5A3342A5"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Jesus shows the importance of giving to others, making simple connections with the story of the widow’s mite (Lk 21:1-6) and the season of Lent.</w:t>
            </w:r>
          </w:p>
        </w:tc>
        <w:tc>
          <w:tcPr>
            <w:tcW w:w="2482" w:type="dxa"/>
            <w:vMerge/>
            <w:vAlign w:val="center"/>
          </w:tcPr>
          <w:p w14:paraId="05B099BE" w14:textId="2621A9BB" w:rsidR="001A64AA" w:rsidRPr="001A64AA" w:rsidRDefault="001A64AA" w:rsidP="001A64AA">
            <w:pPr>
              <w:rPr>
                <w:rFonts w:ascii="Comic Sans MS" w:hAnsi="Comic Sans MS"/>
                <w:sz w:val="19"/>
                <w:szCs w:val="19"/>
              </w:rPr>
            </w:pPr>
          </w:p>
        </w:tc>
        <w:tc>
          <w:tcPr>
            <w:tcW w:w="2759" w:type="dxa"/>
            <w:vAlign w:val="center"/>
          </w:tcPr>
          <w:p w14:paraId="6306D175" w14:textId="04ECF622"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Catholics are a part of a global Christian family, and all Christians are sisters and brothers.</w:t>
            </w:r>
          </w:p>
        </w:tc>
      </w:tr>
      <w:tr w:rsidR="001A64AA" w:rsidRPr="001A64AA" w14:paraId="7359A8DC" w14:textId="77777777" w:rsidTr="001A64AA">
        <w:tc>
          <w:tcPr>
            <w:tcW w:w="2978" w:type="dxa"/>
            <w:vAlign w:val="center"/>
          </w:tcPr>
          <w:p w14:paraId="32141516" w14:textId="4ABA9841"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though people cannot see God, they can sense his presence through the awe and wonder experienced in the beauty and order of Creation.</w:t>
            </w:r>
          </w:p>
        </w:tc>
        <w:tc>
          <w:tcPr>
            <w:tcW w:w="2835" w:type="dxa"/>
            <w:vAlign w:val="center"/>
          </w:tcPr>
          <w:p w14:paraId="4779BE4A" w14:textId="3B8BD0B7"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Sequence the accounts from the Annunciation through to the visit of the shepherds.</w:t>
            </w:r>
          </w:p>
        </w:tc>
        <w:tc>
          <w:tcPr>
            <w:tcW w:w="2410" w:type="dxa"/>
            <w:vMerge w:val="restart"/>
            <w:vAlign w:val="center"/>
          </w:tcPr>
          <w:p w14:paraId="2485F9CC" w14:textId="0221CDC1"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Make simple connections between Jesus’ announcement of his mission (Lk 4:16-19) and how Christians are called to tell people about God’s love today.</w:t>
            </w:r>
          </w:p>
        </w:tc>
        <w:tc>
          <w:tcPr>
            <w:tcW w:w="2838" w:type="dxa"/>
            <w:vAlign w:val="center"/>
          </w:tcPr>
          <w:p w14:paraId="42CCC394" w14:textId="5AFFDF14"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Correctly sequence the events of the last week of Jesus’ life.</w:t>
            </w:r>
          </w:p>
        </w:tc>
        <w:tc>
          <w:tcPr>
            <w:tcW w:w="2482" w:type="dxa"/>
            <w:vAlign w:val="center"/>
          </w:tcPr>
          <w:p w14:paraId="29E6DDB0" w14:textId="77777777" w:rsidR="001A64AA" w:rsidRPr="001A64AA" w:rsidRDefault="001A64AA" w:rsidP="001A64AA">
            <w:pPr>
              <w:rPr>
                <w:sz w:val="19"/>
                <w:szCs w:val="19"/>
              </w:rPr>
            </w:pPr>
            <w:r w:rsidRPr="001A64AA">
              <w:rPr>
                <w:rFonts w:ascii="Comic Sans MS" w:hAnsi="Comic Sans MS"/>
                <w:color w:val="000000"/>
                <w:sz w:val="19"/>
                <w:szCs w:val="19"/>
              </w:rPr>
              <w:t>Simply sequence the story of Jesus studied from earlier branches (as Luke does in Acts 1:1).</w:t>
            </w:r>
          </w:p>
          <w:p w14:paraId="4477CEA5" w14:textId="46ACCD03" w:rsidR="001A64AA" w:rsidRPr="001A64AA" w:rsidRDefault="001A64AA" w:rsidP="001A64AA">
            <w:pPr>
              <w:rPr>
                <w:rFonts w:ascii="Comic Sans MS" w:hAnsi="Comic Sans MS"/>
                <w:sz w:val="19"/>
                <w:szCs w:val="19"/>
              </w:rPr>
            </w:pPr>
          </w:p>
        </w:tc>
        <w:tc>
          <w:tcPr>
            <w:tcW w:w="2759" w:type="dxa"/>
            <w:vAlign w:val="center"/>
          </w:tcPr>
          <w:p w14:paraId="433F6D87" w14:textId="15D903F1"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simple connections between Jesus’ life and message and how Christians live today.</w:t>
            </w:r>
          </w:p>
        </w:tc>
      </w:tr>
      <w:tr w:rsidR="001A64AA" w:rsidRPr="001A64AA" w14:paraId="43403001" w14:textId="77777777" w:rsidTr="001A64AA">
        <w:tc>
          <w:tcPr>
            <w:tcW w:w="2978" w:type="dxa"/>
            <w:vAlign w:val="center"/>
          </w:tcPr>
          <w:p w14:paraId="51AFF170" w14:textId="528D6168"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 xml:space="preserve">Recognise that the Church teaches that God gave human beings the responsibility for taking care of the world and its people and in doing this, we show love for God and each other. </w:t>
            </w:r>
          </w:p>
        </w:tc>
        <w:tc>
          <w:tcPr>
            <w:tcW w:w="2835" w:type="dxa"/>
            <w:vAlign w:val="center"/>
          </w:tcPr>
          <w:p w14:paraId="65CE36B8" w14:textId="23F56064"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Know that in the Annunciation God called Mary and she said ‘Yes’ to his call and why this makes Mary important for Christians.</w:t>
            </w:r>
          </w:p>
        </w:tc>
        <w:tc>
          <w:tcPr>
            <w:tcW w:w="2410" w:type="dxa"/>
            <w:vMerge/>
            <w:vAlign w:val="center"/>
          </w:tcPr>
          <w:p w14:paraId="3316134D" w14:textId="072281DC" w:rsidR="001A64AA" w:rsidRPr="001A64AA" w:rsidRDefault="001A64AA" w:rsidP="001A64AA">
            <w:pPr>
              <w:rPr>
                <w:rFonts w:ascii="Comic Sans MS" w:hAnsi="Comic Sans MS"/>
                <w:sz w:val="19"/>
                <w:szCs w:val="19"/>
              </w:rPr>
            </w:pPr>
          </w:p>
        </w:tc>
        <w:tc>
          <w:tcPr>
            <w:tcW w:w="2838" w:type="dxa"/>
            <w:vAlign w:val="center"/>
          </w:tcPr>
          <w:p w14:paraId="70EF3E5F" w14:textId="6A99F8D5"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angels bring God’s message and are a sign the Jesus is the Son of God, truly alive.</w:t>
            </w:r>
          </w:p>
        </w:tc>
        <w:tc>
          <w:tcPr>
            <w:tcW w:w="2482" w:type="dxa"/>
            <w:vAlign w:val="center"/>
          </w:tcPr>
          <w:p w14:paraId="2538B4B4" w14:textId="0954AFAD"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 xml:space="preserve">Make simple connections between the mission of the Church and the mission of Jesus as he announced it at the beginning of Luke’s Gospel (Lk 4:16-19). </w:t>
            </w:r>
          </w:p>
        </w:tc>
        <w:tc>
          <w:tcPr>
            <w:tcW w:w="2759" w:type="dxa"/>
            <w:vAlign w:val="center"/>
          </w:tcPr>
          <w:p w14:paraId="0B793057" w14:textId="15AB2BDB"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 xml:space="preserve">Recognise that the cross is a symbol of Christianity, and the sign of the cross is a prayer expressing Christian belief. </w:t>
            </w:r>
          </w:p>
        </w:tc>
      </w:tr>
      <w:tr w:rsidR="001A64AA" w:rsidRPr="001A64AA" w14:paraId="5F8D9260" w14:textId="77777777" w:rsidTr="001A64AA">
        <w:tc>
          <w:tcPr>
            <w:tcW w:w="2978" w:type="dxa"/>
            <w:vAlign w:val="center"/>
          </w:tcPr>
          <w:p w14:paraId="107E6B43" w14:textId="1C37CD24"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Know that Pope Francis wrote a letter, called Laudato Si’, about the gift of Creation and the importance of taking care of the world as it is everyone’s home.</w:t>
            </w:r>
          </w:p>
        </w:tc>
        <w:tc>
          <w:tcPr>
            <w:tcW w:w="2835" w:type="dxa"/>
            <w:vAlign w:val="center"/>
          </w:tcPr>
          <w:p w14:paraId="5CE59519" w14:textId="28D1C453"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Match the first words of the Hail Mary with the words of the Angel Gabriel.</w:t>
            </w:r>
          </w:p>
        </w:tc>
        <w:tc>
          <w:tcPr>
            <w:tcW w:w="2410" w:type="dxa"/>
          </w:tcPr>
          <w:p w14:paraId="6E95BCEA" w14:textId="51DC98E2"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Ask and answer questions about the story of Zacchaeus and how he changed after meeting Jesus.</w:t>
            </w:r>
          </w:p>
        </w:tc>
        <w:tc>
          <w:tcPr>
            <w:tcW w:w="2838" w:type="dxa"/>
            <w:vAlign w:val="center"/>
          </w:tcPr>
          <w:p w14:paraId="017D5F3D" w14:textId="3C566388"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the Church teaches that Jesus suffered, died, and rose again.</w:t>
            </w:r>
          </w:p>
        </w:tc>
        <w:tc>
          <w:tcPr>
            <w:tcW w:w="2482" w:type="dxa"/>
            <w:vAlign w:val="center"/>
          </w:tcPr>
          <w:p w14:paraId="41BB4EF3" w14:textId="10E43BCB"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Catholics celebrate the Ascension of Jesus and Pentecost on special days called holydays.</w:t>
            </w:r>
          </w:p>
        </w:tc>
        <w:tc>
          <w:tcPr>
            <w:tcW w:w="2759" w:type="dxa"/>
            <w:vAlign w:val="center"/>
          </w:tcPr>
          <w:p w14:paraId="49D08510" w14:textId="748B3F5C"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 xml:space="preserve">Correctly use religious words and phrases to recognise features of Jewish religious life and practice </w:t>
            </w:r>
          </w:p>
        </w:tc>
      </w:tr>
      <w:tr w:rsidR="001A64AA" w:rsidRPr="001A64AA" w14:paraId="34656D8A" w14:textId="77777777" w:rsidTr="001A64AA">
        <w:tc>
          <w:tcPr>
            <w:tcW w:w="2978" w:type="dxa"/>
            <w:vAlign w:val="bottom"/>
          </w:tcPr>
          <w:p w14:paraId="5535455D" w14:textId="13C77E5D"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prayer is a way of drawing closer to God</w:t>
            </w:r>
          </w:p>
        </w:tc>
        <w:tc>
          <w:tcPr>
            <w:tcW w:w="2835" w:type="dxa"/>
            <w:vAlign w:val="center"/>
          </w:tcPr>
          <w:p w14:paraId="77B2EE7A" w14:textId="7B226F9E"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that angels bring God’s message and are a sign that Jesus is the Son of God.</w:t>
            </w:r>
          </w:p>
        </w:tc>
        <w:tc>
          <w:tcPr>
            <w:tcW w:w="2410" w:type="dxa"/>
          </w:tcPr>
          <w:p w14:paraId="2673BB87" w14:textId="77777777" w:rsidR="001A64AA" w:rsidRPr="001A64AA" w:rsidRDefault="001A64AA" w:rsidP="001A64AA">
            <w:pPr>
              <w:rPr>
                <w:rFonts w:ascii="Comic Sans MS" w:hAnsi="Comic Sans MS"/>
                <w:sz w:val="19"/>
                <w:szCs w:val="19"/>
              </w:rPr>
            </w:pPr>
          </w:p>
        </w:tc>
        <w:tc>
          <w:tcPr>
            <w:tcW w:w="2838" w:type="dxa"/>
            <w:vAlign w:val="center"/>
          </w:tcPr>
          <w:p w14:paraId="40EDF19A" w14:textId="5F3F29E2"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Recognise simple connections between the use of ashes and the Christian belief that Lent is an opportunity for a new start.</w:t>
            </w:r>
          </w:p>
        </w:tc>
        <w:tc>
          <w:tcPr>
            <w:tcW w:w="2482" w:type="dxa"/>
          </w:tcPr>
          <w:p w14:paraId="035A6655" w14:textId="77777777" w:rsidR="001A64AA" w:rsidRPr="001A64AA" w:rsidRDefault="001A64AA" w:rsidP="001A64AA">
            <w:pPr>
              <w:rPr>
                <w:rFonts w:ascii="Comic Sans MS" w:hAnsi="Comic Sans MS"/>
                <w:sz w:val="19"/>
                <w:szCs w:val="19"/>
              </w:rPr>
            </w:pPr>
          </w:p>
        </w:tc>
        <w:tc>
          <w:tcPr>
            <w:tcW w:w="2759" w:type="dxa"/>
            <w:vAlign w:val="center"/>
          </w:tcPr>
          <w:p w14:paraId="3E1485FF" w14:textId="6249BFD6" w:rsidR="001A64AA" w:rsidRPr="001A64AA" w:rsidRDefault="001A64AA" w:rsidP="001A64AA">
            <w:pPr>
              <w:rPr>
                <w:rFonts w:ascii="Comic Sans MS" w:hAnsi="Comic Sans MS"/>
                <w:sz w:val="19"/>
                <w:szCs w:val="19"/>
              </w:rPr>
            </w:pPr>
            <w:r w:rsidRPr="001A64AA">
              <w:rPr>
                <w:rFonts w:ascii="Comic Sans MS" w:hAnsi="Comic Sans MS"/>
                <w:color w:val="000000"/>
                <w:sz w:val="19"/>
                <w:szCs w:val="19"/>
              </w:rPr>
              <w:t>Know that Christian means follower of Jesus Christ.</w:t>
            </w:r>
          </w:p>
        </w:tc>
      </w:tr>
    </w:tbl>
    <w:p w14:paraId="69E698A5" w14:textId="77777777" w:rsidR="000A3453" w:rsidRDefault="000A3453"/>
    <w:sectPr w:rsidR="000A3453" w:rsidSect="001A64AA">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53"/>
    <w:rsid w:val="000A3453"/>
    <w:rsid w:val="000F3137"/>
    <w:rsid w:val="001A64AA"/>
    <w:rsid w:val="005746AF"/>
    <w:rsid w:val="00675BC2"/>
    <w:rsid w:val="006D5497"/>
    <w:rsid w:val="00784D34"/>
    <w:rsid w:val="00C41A77"/>
    <w:rsid w:val="00ED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F2781"/>
  <w15:chartTrackingRefBased/>
  <w15:docId w15:val="{40BF712C-798A-4BED-94D0-74D2D11F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3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4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4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4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4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4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4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4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453"/>
    <w:rPr>
      <w:rFonts w:eastAsiaTheme="majorEastAsia" w:cstheme="majorBidi"/>
      <w:color w:val="272727" w:themeColor="text1" w:themeTint="D8"/>
    </w:rPr>
  </w:style>
  <w:style w:type="paragraph" w:styleId="Title">
    <w:name w:val="Title"/>
    <w:basedOn w:val="Normal"/>
    <w:next w:val="Normal"/>
    <w:link w:val="TitleChar"/>
    <w:uiPriority w:val="10"/>
    <w:qFormat/>
    <w:rsid w:val="000A34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4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453"/>
    <w:pPr>
      <w:spacing w:before="160"/>
      <w:jc w:val="center"/>
    </w:pPr>
    <w:rPr>
      <w:i/>
      <w:iCs/>
      <w:color w:val="404040" w:themeColor="text1" w:themeTint="BF"/>
    </w:rPr>
  </w:style>
  <w:style w:type="character" w:customStyle="1" w:styleId="QuoteChar">
    <w:name w:val="Quote Char"/>
    <w:basedOn w:val="DefaultParagraphFont"/>
    <w:link w:val="Quote"/>
    <w:uiPriority w:val="29"/>
    <w:rsid w:val="000A3453"/>
    <w:rPr>
      <w:i/>
      <w:iCs/>
      <w:color w:val="404040" w:themeColor="text1" w:themeTint="BF"/>
    </w:rPr>
  </w:style>
  <w:style w:type="paragraph" w:styleId="ListParagraph">
    <w:name w:val="List Paragraph"/>
    <w:basedOn w:val="Normal"/>
    <w:uiPriority w:val="34"/>
    <w:qFormat/>
    <w:rsid w:val="000A3453"/>
    <w:pPr>
      <w:ind w:left="720"/>
      <w:contextualSpacing/>
    </w:pPr>
  </w:style>
  <w:style w:type="character" w:styleId="IntenseEmphasis">
    <w:name w:val="Intense Emphasis"/>
    <w:basedOn w:val="DefaultParagraphFont"/>
    <w:uiPriority w:val="21"/>
    <w:qFormat/>
    <w:rsid w:val="000A3453"/>
    <w:rPr>
      <w:i/>
      <w:iCs/>
      <w:color w:val="0F4761" w:themeColor="accent1" w:themeShade="BF"/>
    </w:rPr>
  </w:style>
  <w:style w:type="paragraph" w:styleId="IntenseQuote">
    <w:name w:val="Intense Quote"/>
    <w:basedOn w:val="Normal"/>
    <w:next w:val="Normal"/>
    <w:link w:val="IntenseQuoteChar"/>
    <w:uiPriority w:val="30"/>
    <w:qFormat/>
    <w:rsid w:val="000A3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453"/>
    <w:rPr>
      <w:i/>
      <w:iCs/>
      <w:color w:val="0F4761" w:themeColor="accent1" w:themeShade="BF"/>
    </w:rPr>
  </w:style>
  <w:style w:type="character" w:styleId="IntenseReference">
    <w:name w:val="Intense Reference"/>
    <w:basedOn w:val="DefaultParagraphFont"/>
    <w:uiPriority w:val="32"/>
    <w:qFormat/>
    <w:rsid w:val="000A3453"/>
    <w:rPr>
      <w:b/>
      <w:bCs/>
      <w:smallCaps/>
      <w:color w:val="0F4761" w:themeColor="accent1" w:themeShade="BF"/>
      <w:spacing w:val="5"/>
    </w:rPr>
  </w:style>
  <w:style w:type="table" w:styleId="TableGrid">
    <w:name w:val="Table Grid"/>
    <w:basedOn w:val="TableNormal"/>
    <w:uiPriority w:val="39"/>
    <w:rsid w:val="000A3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44e821aa-1ea7-4d96-9c51-c35df4780a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F69EE0F4208E4AB046EA762EEFF43F" ma:contentTypeVersion="" ma:contentTypeDescription="Create a new document." ma:contentTypeScope="" ma:versionID="9dc98dd1167d99f477eaf3a757506467">
  <xsd:schema xmlns:xsd="http://www.w3.org/2001/XMLSchema" xmlns:xs="http://www.w3.org/2001/XMLSchema" xmlns:p="http://schemas.microsoft.com/office/2006/metadata/properties" xmlns:ns2="44e821aa-1ea7-4d96-9c51-c35df4780a8e" xmlns:ns3="45390eae-4821-456e-9e8f-815f26c78c00" xmlns:ns4="3c6552ff-e203-492b-9a4a-86c2b1ce869f" targetNamespace="http://schemas.microsoft.com/office/2006/metadata/properties" ma:root="true" ma:fieldsID="c2afe60d53bdc48971ac1d2782fe269c" ns2:_="" ns3:_="" ns4:_="">
    <xsd:import namespace="44e821aa-1ea7-4d96-9c51-c35df4780a8e"/>
    <xsd:import namespace="45390eae-4821-456e-9e8f-815f26c78c00"/>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821aa-1ea7-4d96-9c51-c35df4780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90eae-4821-456e-9e8f-815f26c78c0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1401E87-7AE3-40CF-B736-A291D5F73096}" ma:internalName="TaxCatchAll" ma:showField="CatchAllData" ma:web="{45390eae-4821-456e-9e8f-815f26c78c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F89D88-395B-4E7F-AF51-3862DC663D41}">
  <ds:schemaRefs>
    <ds:schemaRef ds:uri="http://schemas.microsoft.com/office/2006/metadata/properties"/>
    <ds:schemaRef ds:uri="http://schemas.microsoft.com/office/infopath/2007/PartnerControls"/>
    <ds:schemaRef ds:uri="3c6552ff-e203-492b-9a4a-86c2b1ce869f"/>
    <ds:schemaRef ds:uri="44e821aa-1ea7-4d96-9c51-c35df4780a8e"/>
  </ds:schemaRefs>
</ds:datastoreItem>
</file>

<file path=customXml/itemProps2.xml><?xml version="1.0" encoding="utf-8"?>
<ds:datastoreItem xmlns:ds="http://schemas.openxmlformats.org/officeDocument/2006/customXml" ds:itemID="{6012EA6E-CF5B-4154-81E3-1135FB791525}">
  <ds:schemaRefs>
    <ds:schemaRef ds:uri="http://schemas.microsoft.com/sharepoint/v3/contenttype/forms"/>
  </ds:schemaRefs>
</ds:datastoreItem>
</file>

<file path=customXml/itemProps3.xml><?xml version="1.0" encoding="utf-8"?>
<ds:datastoreItem xmlns:ds="http://schemas.openxmlformats.org/officeDocument/2006/customXml" ds:itemID="{EB56878F-D59A-4C2C-B757-2A1EB7150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821aa-1ea7-4d96-9c51-c35df4780a8e"/>
    <ds:schemaRef ds:uri="45390eae-4821-456e-9e8f-815f26c78c00"/>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alcock</dc:creator>
  <cp:keywords/>
  <dc:description/>
  <cp:lastModifiedBy>Rovizzi, Francesca</cp:lastModifiedBy>
  <cp:revision>2</cp:revision>
  <dcterms:created xsi:type="dcterms:W3CDTF">2025-02-25T10:17:00Z</dcterms:created>
  <dcterms:modified xsi:type="dcterms:W3CDTF">2025-02-25T10:17:00Z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0x0101004CF69EE0F4208E4AB046EA762EEFF43F</vt:lpwstr>
  </property>
</Properties>
</file>